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ED7A47" w:rsidTr="00333ACB">
        <w:trPr>
          <w:trHeight w:val="1797"/>
        </w:trPr>
        <w:tc>
          <w:tcPr>
            <w:tcW w:w="5495" w:type="dxa"/>
            <w:hideMark/>
          </w:tcPr>
          <w:p w:rsidR="00ED7A47" w:rsidRDefault="00ED7A47" w:rsidP="00ED7A4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Фракція Комуністичної партії більшовиків України (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>(б)У</w:t>
            </w:r>
            <w:r w:rsidR="00073A92">
              <w:rPr>
                <w:lang w:val="uk-UA"/>
              </w:rPr>
              <w:t xml:space="preserve">) </w:t>
            </w:r>
            <w:r>
              <w:rPr>
                <w:lang w:val="uk-UA"/>
              </w:rPr>
              <w:t xml:space="preserve">фінансового відділу Ніжинської окружної ради робітничих, селянських і червоноармійських депутатів,            </w:t>
            </w:r>
            <w:r w:rsidRPr="00AD0C40">
              <w:rPr>
                <w:lang w:val="uk-UA"/>
              </w:rPr>
              <w:t>м. Ніжин Ніжинського району Ніжинського округу</w:t>
            </w:r>
            <w:r>
              <w:rPr>
                <w:lang w:val="uk-UA"/>
              </w:rPr>
              <w:t xml:space="preserve"> </w:t>
            </w:r>
            <w:r w:rsidRPr="009A5A3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</w:p>
          <w:p w:rsidR="00ED7A47" w:rsidRDefault="00ED7A47" w:rsidP="00ED7A47">
            <w:pPr>
              <w:contextualSpacing/>
            </w:pPr>
          </w:p>
        </w:tc>
        <w:tc>
          <w:tcPr>
            <w:tcW w:w="4333" w:type="dxa"/>
            <w:hideMark/>
          </w:tcPr>
          <w:p w:rsidR="00ED7A47" w:rsidRDefault="00ED7A47" w:rsidP="00333ACB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ED7A47" w:rsidRDefault="00ED7A47" w:rsidP="00333ACB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ED7A47" w:rsidRDefault="00ED7A47" w:rsidP="00333AC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ED7A47" w:rsidRDefault="00ED7A47" w:rsidP="00333ACB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ED7A47" w:rsidRDefault="00ED7A47" w:rsidP="00ED7A47">
      <w:pPr>
        <w:rPr>
          <w:lang w:val="uk-UA"/>
        </w:rPr>
      </w:pPr>
    </w:p>
    <w:p w:rsidR="00ED7A47" w:rsidRDefault="00ED7A47" w:rsidP="00ED7A47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П-719</w:t>
      </w:r>
    </w:p>
    <w:p w:rsidR="00ED7A47" w:rsidRDefault="00ED7A47" w:rsidP="00ED7A47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ED7A47" w:rsidRDefault="00ED7A47" w:rsidP="00ED7A47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ED7A47" w:rsidRDefault="00ED7A47" w:rsidP="00ED7A47">
      <w:pPr>
        <w:rPr>
          <w:lang w:val="uk-UA"/>
        </w:rPr>
      </w:pPr>
      <w:r>
        <w:rPr>
          <w:lang w:val="uk-UA"/>
        </w:rPr>
        <w:t>за 192</w:t>
      </w:r>
      <w:r w:rsidR="00553629">
        <w:rPr>
          <w:lang w:val="uk-UA"/>
        </w:rPr>
        <w:t>9</w:t>
      </w:r>
      <w:r>
        <w:rPr>
          <w:lang w:val="uk-UA"/>
        </w:rPr>
        <w:t xml:space="preserve">–1930 рр.   </w:t>
      </w:r>
    </w:p>
    <w:p w:rsidR="00ED7A47" w:rsidRDefault="00ED7A47" w:rsidP="00ED7A47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747"/>
        <w:gridCol w:w="5241"/>
        <w:gridCol w:w="2125"/>
        <w:gridCol w:w="992"/>
        <w:gridCol w:w="1050"/>
      </w:tblGrid>
      <w:tr w:rsidR="00ED7A47" w:rsidTr="00333ACB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47" w:rsidRDefault="00ED7A47" w:rsidP="00333A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47" w:rsidRDefault="00ED7A47" w:rsidP="00333A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47" w:rsidRDefault="00ED7A47" w:rsidP="00333A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ED7A47" w:rsidRDefault="00ED7A47" w:rsidP="00333ACB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47" w:rsidRDefault="00ED7A47" w:rsidP="00333ACB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47" w:rsidRDefault="00ED7A47" w:rsidP="00333ACB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ED7A47" w:rsidTr="00333ACB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47" w:rsidRDefault="00ED7A47" w:rsidP="00333A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47" w:rsidRDefault="00ED7A47" w:rsidP="00333A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47" w:rsidRDefault="00ED7A47" w:rsidP="00333A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47" w:rsidRDefault="00ED7A47" w:rsidP="00333ACB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A47" w:rsidRDefault="00ED7A47" w:rsidP="00333ACB">
            <w:pPr>
              <w:spacing w:line="276" w:lineRule="auto"/>
              <w:jc w:val="center"/>
            </w:pPr>
            <w:r>
              <w:t>5</w:t>
            </w:r>
          </w:p>
        </w:tc>
      </w:tr>
      <w:tr w:rsidR="00ED7A47" w:rsidTr="00333ACB">
        <w:trPr>
          <w:cantSplit/>
          <w:trHeight w:val="263"/>
        </w:trPr>
        <w:tc>
          <w:tcPr>
            <w:tcW w:w="747" w:type="dxa"/>
          </w:tcPr>
          <w:p w:rsidR="00ED7A47" w:rsidRDefault="00ED7A47" w:rsidP="00333AC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ED7A47" w:rsidRDefault="00ED7A47" w:rsidP="00333ACB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92</w:t>
            </w:r>
            <w:r w:rsidR="00D7176E">
              <w:rPr>
                <w:b/>
                <w:lang w:val="uk-UA"/>
              </w:rPr>
              <w:t>9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ED7A47" w:rsidRDefault="00ED7A47" w:rsidP="00333ACB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ED7A47" w:rsidRDefault="00ED7A47" w:rsidP="00333ACB">
            <w:pPr>
              <w:contextualSpacing/>
              <w:jc w:val="center"/>
            </w:pPr>
          </w:p>
        </w:tc>
        <w:tc>
          <w:tcPr>
            <w:tcW w:w="992" w:type="dxa"/>
          </w:tcPr>
          <w:p w:rsidR="00ED7A47" w:rsidRDefault="00ED7A47" w:rsidP="00333ACB">
            <w:pPr>
              <w:contextualSpacing/>
              <w:jc w:val="center"/>
            </w:pPr>
          </w:p>
        </w:tc>
        <w:tc>
          <w:tcPr>
            <w:tcW w:w="1050" w:type="dxa"/>
          </w:tcPr>
          <w:p w:rsidR="00ED7A47" w:rsidRDefault="00ED7A47" w:rsidP="00333ACB">
            <w:pPr>
              <w:contextualSpacing/>
              <w:jc w:val="center"/>
            </w:pPr>
          </w:p>
        </w:tc>
      </w:tr>
      <w:tr w:rsidR="001D3A4D" w:rsidRPr="001D3A4D" w:rsidTr="00333ACB">
        <w:trPr>
          <w:cantSplit/>
          <w:trHeight w:val="263"/>
        </w:trPr>
        <w:tc>
          <w:tcPr>
            <w:tcW w:w="747" w:type="dxa"/>
          </w:tcPr>
          <w:p w:rsidR="001D3A4D" w:rsidRDefault="001D3A4D" w:rsidP="00333A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</w:tcPr>
          <w:p w:rsidR="001D3A4D" w:rsidRDefault="001D3A4D" w:rsidP="001D3A4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Постанови окрпарткому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 щодо затвердження </w:t>
            </w:r>
            <w:proofErr w:type="spellStart"/>
            <w:r>
              <w:rPr>
                <w:lang w:val="uk-UA"/>
              </w:rPr>
              <w:t>окрбюджету</w:t>
            </w:r>
            <w:proofErr w:type="spellEnd"/>
            <w:r w:rsidR="00BF539A">
              <w:rPr>
                <w:lang w:val="uk-UA"/>
              </w:rPr>
              <w:t xml:space="preserve"> на 1939 р.</w:t>
            </w:r>
            <w:r>
              <w:rPr>
                <w:lang w:val="uk-UA"/>
              </w:rPr>
              <w:t>,</w:t>
            </w:r>
            <w:r w:rsidR="00C91570">
              <w:rPr>
                <w:lang w:val="uk-UA"/>
              </w:rPr>
              <w:t xml:space="preserve"> сільськогосподарського </w:t>
            </w:r>
            <w:r w:rsidR="00BF539A">
              <w:rPr>
                <w:lang w:val="uk-UA"/>
              </w:rPr>
              <w:t xml:space="preserve">податку на       1930–1931 рр., </w:t>
            </w:r>
            <w:r>
              <w:rPr>
                <w:lang w:val="uk-UA"/>
              </w:rPr>
              <w:t>оподаткування сільськогосподарськ</w:t>
            </w:r>
            <w:r w:rsidR="00BF539A">
              <w:rPr>
                <w:lang w:val="uk-UA"/>
              </w:rPr>
              <w:t xml:space="preserve">ого </w:t>
            </w:r>
            <w:r>
              <w:rPr>
                <w:lang w:val="uk-UA"/>
              </w:rPr>
              <w:t>податк</w:t>
            </w:r>
            <w:r w:rsidR="00BF539A">
              <w:rPr>
                <w:lang w:val="uk-UA"/>
              </w:rPr>
              <w:t xml:space="preserve">у, </w:t>
            </w:r>
            <w:r w:rsidR="00B6121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надходження заборгованості від населення, </w:t>
            </w:r>
            <w:r w:rsidR="00C91570">
              <w:rPr>
                <w:lang w:val="uk-UA"/>
              </w:rPr>
              <w:t>місячника ощадкас.</w:t>
            </w:r>
            <w:r>
              <w:rPr>
                <w:lang w:val="uk-UA"/>
              </w:rPr>
              <w:t xml:space="preserve"> Доповідна записка</w:t>
            </w:r>
            <w:r w:rsidR="00C91570">
              <w:rPr>
                <w:lang w:val="uk-UA"/>
              </w:rPr>
              <w:t xml:space="preserve"> основних положень</w:t>
            </w:r>
            <w:r w:rsidR="00BF539A">
              <w:rPr>
                <w:lang w:val="uk-UA"/>
              </w:rPr>
              <w:t xml:space="preserve"> про </w:t>
            </w:r>
            <w:r w:rsidR="00B61213">
              <w:rPr>
                <w:lang w:val="uk-UA"/>
              </w:rPr>
              <w:t>п</w:t>
            </w:r>
            <w:r w:rsidR="00C91570">
              <w:rPr>
                <w:lang w:val="uk-UA"/>
              </w:rPr>
              <w:t xml:space="preserve">роведення єдиного сільськогосподарського податку за    1930–1931 рр. з кошторисними розрахунками. </w:t>
            </w:r>
            <w:r>
              <w:rPr>
                <w:lang w:val="uk-UA"/>
              </w:rPr>
              <w:t>Ли</w:t>
            </w:r>
            <w:r w:rsidRPr="001D3A4D">
              <w:rPr>
                <w:lang w:val="uk-UA"/>
              </w:rPr>
              <w:t>с</w:t>
            </w:r>
            <w:r>
              <w:rPr>
                <w:lang w:val="uk-UA"/>
              </w:rPr>
              <w:t>т</w:t>
            </w:r>
            <w:r w:rsidRPr="001D3A4D">
              <w:rPr>
                <w:lang w:val="uk-UA"/>
              </w:rPr>
              <w:t xml:space="preserve">ування </w:t>
            </w:r>
            <w:r>
              <w:rPr>
                <w:lang w:val="uk-UA"/>
              </w:rPr>
              <w:t>з партійними та радянськими органами з питань основної діяльності</w:t>
            </w:r>
          </w:p>
          <w:p w:rsidR="001D3A4D" w:rsidRPr="001D3A4D" w:rsidRDefault="001D3A4D" w:rsidP="001D3A4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1D3A4D" w:rsidRDefault="001D3A4D" w:rsidP="00333A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грудня 1929 –</w:t>
            </w:r>
          </w:p>
          <w:p w:rsidR="001D3A4D" w:rsidRDefault="001D3A4D" w:rsidP="00333A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 квітня 1930</w:t>
            </w:r>
          </w:p>
          <w:p w:rsidR="001D3A4D" w:rsidRPr="001D3A4D" w:rsidRDefault="001D3A4D" w:rsidP="00333AC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1D3A4D" w:rsidRPr="001D3A4D" w:rsidRDefault="001D3A4D" w:rsidP="00333A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050" w:type="dxa"/>
          </w:tcPr>
          <w:p w:rsidR="001D3A4D" w:rsidRPr="001D3A4D" w:rsidRDefault="001D3A4D" w:rsidP="00333ACB">
            <w:pPr>
              <w:contextualSpacing/>
              <w:jc w:val="center"/>
              <w:rPr>
                <w:lang w:val="uk-UA"/>
              </w:rPr>
            </w:pPr>
          </w:p>
        </w:tc>
      </w:tr>
      <w:tr w:rsidR="00ED7A47" w:rsidRPr="001D3A4D" w:rsidTr="00333ACB">
        <w:trPr>
          <w:cantSplit/>
          <w:trHeight w:val="263"/>
        </w:trPr>
        <w:tc>
          <w:tcPr>
            <w:tcW w:w="747" w:type="dxa"/>
          </w:tcPr>
          <w:p w:rsidR="00ED7A47" w:rsidRPr="00463053" w:rsidRDefault="001D3A4D" w:rsidP="00333ACB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5241" w:type="dxa"/>
          </w:tcPr>
          <w:p w:rsidR="00ED7A47" w:rsidRDefault="0011246E" w:rsidP="00ED7A4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Протокол засідання комфракції президії Ніжинс</w:t>
            </w:r>
            <w:r w:rsidR="00B61213">
              <w:rPr>
                <w:lang w:val="uk-UA"/>
              </w:rPr>
              <w:t>ь</w:t>
            </w:r>
            <w:r>
              <w:rPr>
                <w:lang w:val="uk-UA"/>
              </w:rPr>
              <w:t>кого окрвиконкому</w:t>
            </w:r>
            <w:r w:rsidR="00B61213">
              <w:rPr>
                <w:lang w:val="uk-UA"/>
              </w:rPr>
              <w:t xml:space="preserve">. </w:t>
            </w:r>
            <w:r w:rsidR="00003EC0">
              <w:rPr>
                <w:lang w:val="uk-UA"/>
              </w:rPr>
              <w:t>Річний план заготівлі великої рогатої худоби і свиней</w:t>
            </w:r>
            <w:r w:rsidR="00782D78">
              <w:rPr>
                <w:lang w:val="uk-UA"/>
              </w:rPr>
              <w:t xml:space="preserve"> у </w:t>
            </w:r>
            <w:r w:rsidR="00003EC0">
              <w:rPr>
                <w:lang w:val="uk-UA"/>
              </w:rPr>
              <w:t>Ніжинському окру</w:t>
            </w:r>
            <w:r w:rsidR="00782D78">
              <w:rPr>
                <w:lang w:val="uk-UA"/>
              </w:rPr>
              <w:t xml:space="preserve">зі </w:t>
            </w:r>
            <w:r w:rsidR="00003EC0">
              <w:rPr>
                <w:lang w:val="uk-UA"/>
              </w:rPr>
              <w:t>за 1929–1930 рр. Ли</w:t>
            </w:r>
            <w:r w:rsidR="00003EC0" w:rsidRPr="001D3A4D">
              <w:rPr>
                <w:lang w:val="uk-UA"/>
              </w:rPr>
              <w:t>с</w:t>
            </w:r>
            <w:r w:rsidR="00003EC0">
              <w:rPr>
                <w:lang w:val="uk-UA"/>
              </w:rPr>
              <w:t>т</w:t>
            </w:r>
            <w:r w:rsidR="00003EC0" w:rsidRPr="001D3A4D">
              <w:rPr>
                <w:lang w:val="uk-UA"/>
              </w:rPr>
              <w:t xml:space="preserve">ування </w:t>
            </w:r>
            <w:r w:rsidR="00003EC0">
              <w:rPr>
                <w:lang w:val="uk-UA"/>
              </w:rPr>
              <w:t>з партійними та радянськими органами з питань основної діяльності</w:t>
            </w:r>
            <w:r w:rsidR="00ED7A47">
              <w:rPr>
                <w:lang w:val="uk-UA"/>
              </w:rPr>
              <w:t xml:space="preserve"> </w:t>
            </w:r>
          </w:p>
          <w:p w:rsidR="00ED7A47" w:rsidRDefault="00ED7A47" w:rsidP="00ED7A47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ED7A47" w:rsidRDefault="00B61213" w:rsidP="00333A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17 листопада </w:t>
            </w:r>
            <w:r w:rsidR="0011246E">
              <w:rPr>
                <w:lang w:val="uk-UA"/>
              </w:rPr>
              <w:t xml:space="preserve">– </w:t>
            </w:r>
            <w:r>
              <w:rPr>
                <w:lang w:val="uk-UA"/>
              </w:rPr>
              <w:t>29 грудня 1929</w:t>
            </w:r>
          </w:p>
          <w:p w:rsidR="00154C03" w:rsidRDefault="00154C03" w:rsidP="00333AC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D7A47" w:rsidRDefault="00154C03" w:rsidP="00333A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050" w:type="dxa"/>
          </w:tcPr>
          <w:p w:rsidR="00ED7A47" w:rsidRDefault="00ED7A47" w:rsidP="001D3A4D">
            <w:pPr>
              <w:contextualSpacing/>
              <w:jc w:val="center"/>
              <w:rPr>
                <w:lang w:val="uk-UA"/>
              </w:rPr>
            </w:pPr>
          </w:p>
          <w:p w:rsidR="001D3A4D" w:rsidRPr="00B22FA7" w:rsidRDefault="001D3A4D" w:rsidP="001D3A4D">
            <w:pPr>
              <w:contextualSpacing/>
              <w:jc w:val="center"/>
              <w:rPr>
                <w:lang w:val="uk-UA"/>
              </w:rPr>
            </w:pPr>
          </w:p>
        </w:tc>
      </w:tr>
      <w:tr w:rsidR="00ED7A47" w:rsidRPr="001D3A4D" w:rsidTr="00333ACB">
        <w:trPr>
          <w:cantSplit/>
          <w:trHeight w:val="263"/>
        </w:trPr>
        <w:tc>
          <w:tcPr>
            <w:tcW w:w="747" w:type="dxa"/>
          </w:tcPr>
          <w:p w:rsidR="00ED7A47" w:rsidRDefault="00D7176E" w:rsidP="00333ACB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3</w:t>
            </w:r>
          </w:p>
        </w:tc>
        <w:tc>
          <w:tcPr>
            <w:tcW w:w="5241" w:type="dxa"/>
          </w:tcPr>
          <w:p w:rsidR="00ED7A47" w:rsidRDefault="00D7176E" w:rsidP="00D7176E">
            <w:pPr>
              <w:contextualSpacing/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Листування комфракції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>(б)У до Ніжинськ</w:t>
            </w:r>
            <w:r w:rsidR="00066A51">
              <w:rPr>
                <w:lang w:val="uk-UA"/>
              </w:rPr>
              <w:t>ого міськвиконкому про надання о</w:t>
            </w:r>
            <w:r>
              <w:rPr>
                <w:lang w:val="uk-UA"/>
              </w:rPr>
              <w:t xml:space="preserve">кружній ощадкасі </w:t>
            </w:r>
            <w:r w:rsidR="00177D25">
              <w:rPr>
                <w:lang w:val="uk-UA"/>
              </w:rPr>
              <w:t xml:space="preserve">приміщення </w:t>
            </w:r>
            <w:r w:rsidR="00873556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ED7A47">
              <w:rPr>
                <w:b/>
                <w:lang w:val="uk-UA"/>
              </w:rPr>
              <w:t xml:space="preserve"> </w:t>
            </w:r>
          </w:p>
          <w:p w:rsidR="00ED7A47" w:rsidRDefault="00ED7A47" w:rsidP="00333ACB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ED7A47" w:rsidRDefault="00D7176E" w:rsidP="00333A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1929</w:t>
            </w:r>
          </w:p>
        </w:tc>
        <w:tc>
          <w:tcPr>
            <w:tcW w:w="992" w:type="dxa"/>
          </w:tcPr>
          <w:p w:rsidR="00ED7A47" w:rsidRDefault="00D7176E" w:rsidP="00333A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50" w:type="dxa"/>
          </w:tcPr>
          <w:p w:rsidR="00ED7A47" w:rsidRPr="00B22FA7" w:rsidRDefault="00ED7A47" w:rsidP="00333ACB">
            <w:pPr>
              <w:contextualSpacing/>
              <w:jc w:val="center"/>
              <w:rPr>
                <w:lang w:val="uk-UA"/>
              </w:rPr>
            </w:pPr>
          </w:p>
        </w:tc>
      </w:tr>
      <w:tr w:rsidR="00ED7A47" w:rsidRPr="00C76D44" w:rsidTr="00333ACB">
        <w:trPr>
          <w:cantSplit/>
          <w:trHeight w:val="263"/>
        </w:trPr>
        <w:tc>
          <w:tcPr>
            <w:tcW w:w="747" w:type="dxa"/>
          </w:tcPr>
          <w:p w:rsidR="00ED7A47" w:rsidRPr="00463053" w:rsidRDefault="00D7176E" w:rsidP="00333ACB">
            <w:pPr>
              <w:contextualSpacing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5241" w:type="dxa"/>
          </w:tcPr>
          <w:p w:rsidR="00ED7A47" w:rsidRDefault="00D7176E" w:rsidP="00333ACB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за 1929–1930 рр.</w:t>
            </w:r>
          </w:p>
          <w:p w:rsidR="00ED7A47" w:rsidRDefault="00ED7A47" w:rsidP="00333ACB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ED7A47" w:rsidRDefault="00ED7A47" w:rsidP="00333ACB">
            <w:pPr>
              <w:contextualSpacing/>
              <w:jc w:val="center"/>
              <w:rPr>
                <w:lang w:val="uk-UA"/>
              </w:rPr>
            </w:pPr>
          </w:p>
          <w:p w:rsidR="00ED7A47" w:rsidRDefault="00ED7A47" w:rsidP="00333ACB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ED7A47" w:rsidRPr="00E40368" w:rsidRDefault="00D7176E" w:rsidP="00333ACB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50" w:type="dxa"/>
          </w:tcPr>
          <w:p w:rsidR="00ED7A47" w:rsidRPr="00D7176E" w:rsidRDefault="00D7176E" w:rsidP="00333ACB">
            <w:pPr>
              <w:contextualSpacing/>
              <w:jc w:val="center"/>
              <w:rPr>
                <w:b/>
                <w:lang w:val="uk-UA"/>
              </w:rPr>
            </w:pPr>
            <w:r w:rsidRPr="00D7176E">
              <w:rPr>
                <w:b/>
                <w:lang w:val="uk-UA"/>
              </w:rPr>
              <w:t>ЦК</w:t>
            </w:r>
          </w:p>
        </w:tc>
      </w:tr>
    </w:tbl>
    <w:p w:rsidR="00D15047" w:rsidRDefault="00D15047" w:rsidP="00D15047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36"/>
          <w:szCs w:val="36"/>
          <w:u w:val="single"/>
          <w:lang w:val="uk-UA"/>
        </w:rPr>
        <w:t xml:space="preserve">4 </w:t>
      </w:r>
      <w:r>
        <w:rPr>
          <w:lang w:val="uk-UA"/>
        </w:rPr>
        <w:t>(чотири) справи з № 1 по № 4.</w:t>
      </w:r>
    </w:p>
    <w:p w:rsidR="00D15047" w:rsidRDefault="00D15047" w:rsidP="00D15047">
      <w:pPr>
        <w:rPr>
          <w:lang w:val="uk-UA"/>
        </w:rPr>
      </w:pPr>
    </w:p>
    <w:p w:rsidR="00D15047" w:rsidRDefault="00D15047" w:rsidP="00D15047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D15047" w:rsidRDefault="00D15047" w:rsidP="00D15047">
      <w:pPr>
        <w:rPr>
          <w:lang w:val="uk-UA"/>
        </w:rPr>
      </w:pPr>
      <w:r>
        <w:rPr>
          <w:lang w:val="uk-UA"/>
        </w:rPr>
        <w:t>29.08.2022</w:t>
      </w:r>
    </w:p>
    <w:p w:rsidR="00D15047" w:rsidRDefault="00D15047" w:rsidP="00D15047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235"/>
        <w:gridCol w:w="2409"/>
        <w:gridCol w:w="1985"/>
      </w:tblGrid>
      <w:tr w:rsidR="00D15047" w:rsidTr="00333ACB">
        <w:tc>
          <w:tcPr>
            <w:tcW w:w="2235" w:type="dxa"/>
          </w:tcPr>
          <w:p w:rsidR="00D15047" w:rsidRDefault="00D15047" w:rsidP="00333A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D15047" w:rsidRDefault="009B36F7" w:rsidP="00333A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17.10</w:t>
            </w:r>
            <w:r w:rsidR="00D15047">
              <w:rPr>
                <w:lang w:val="uk-UA"/>
              </w:rPr>
              <w:t>.19</w:t>
            </w:r>
            <w:r>
              <w:rPr>
                <w:lang w:val="uk-UA"/>
              </w:rPr>
              <w:t>80</w:t>
            </w:r>
          </w:p>
          <w:p w:rsidR="00D15047" w:rsidRDefault="00D15047" w:rsidP="00333ACB">
            <w:pPr>
              <w:jc w:val="center"/>
              <w:rPr>
                <w:lang w:val="uk-UA"/>
              </w:rPr>
            </w:pPr>
          </w:p>
        </w:tc>
        <w:tc>
          <w:tcPr>
            <w:tcW w:w="2409" w:type="dxa"/>
          </w:tcPr>
          <w:p w:rsidR="00D15047" w:rsidRDefault="00D15047" w:rsidP="00333A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D15047" w:rsidRDefault="00E605F6" w:rsidP="00E60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9B36F7">
              <w:rPr>
                <w:lang w:val="uk-UA"/>
              </w:rPr>
              <w:t>.</w:t>
            </w:r>
            <w:r>
              <w:rPr>
                <w:lang w:val="uk-UA"/>
              </w:rPr>
              <w:t>04</w:t>
            </w:r>
            <w:r w:rsidR="00D15047">
              <w:rPr>
                <w:lang w:val="uk-UA"/>
              </w:rPr>
              <w:t>.1994</w:t>
            </w:r>
          </w:p>
        </w:tc>
        <w:tc>
          <w:tcPr>
            <w:tcW w:w="1985" w:type="dxa"/>
          </w:tcPr>
          <w:p w:rsidR="00D15047" w:rsidRDefault="00D15047" w:rsidP="00333A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D15047" w:rsidRDefault="00E605F6" w:rsidP="00E605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="00D15047">
              <w:rPr>
                <w:lang w:val="uk-UA"/>
              </w:rPr>
              <w:t>.0</w:t>
            </w:r>
            <w:r>
              <w:rPr>
                <w:lang w:val="uk-UA"/>
              </w:rPr>
              <w:t>8</w:t>
            </w:r>
            <w:r w:rsidR="00D15047">
              <w:rPr>
                <w:lang w:val="uk-UA"/>
              </w:rPr>
              <w:t>.2022</w:t>
            </w:r>
          </w:p>
        </w:tc>
      </w:tr>
    </w:tbl>
    <w:p w:rsidR="00D15047" w:rsidRDefault="00D15047" w:rsidP="00D15047">
      <w:pPr>
        <w:rPr>
          <w:sz w:val="24"/>
          <w:szCs w:val="24"/>
          <w:lang w:val="uk-UA"/>
        </w:rPr>
      </w:pPr>
    </w:p>
    <w:p w:rsidR="00D15047" w:rsidRDefault="00D15047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6C7562" w:rsidRDefault="006C7562" w:rsidP="00D15047">
      <w:pPr>
        <w:rPr>
          <w:sz w:val="24"/>
          <w:szCs w:val="24"/>
          <w:lang w:val="uk-UA"/>
        </w:rPr>
      </w:pPr>
    </w:p>
    <w:p w:rsidR="00D15047" w:rsidRDefault="00D15047" w:rsidP="00D15047">
      <w:pPr>
        <w:rPr>
          <w:sz w:val="24"/>
          <w:szCs w:val="24"/>
          <w:lang w:val="uk-UA"/>
        </w:rPr>
      </w:pPr>
    </w:p>
    <w:p w:rsidR="00D15047" w:rsidRDefault="00D15047" w:rsidP="00D1504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о</w:t>
      </w:r>
      <w:r w:rsidRPr="00CE0E6C">
        <w:rPr>
          <w:sz w:val="24"/>
          <w:szCs w:val="24"/>
          <w:lang w:val="uk-UA"/>
        </w:rPr>
        <w:t>пису підшито і пронумеровано</w:t>
      </w:r>
      <w:r>
        <w:rPr>
          <w:sz w:val="24"/>
          <w:szCs w:val="24"/>
          <w:lang w:val="uk-UA"/>
        </w:rPr>
        <w:t xml:space="preserve"> 3 (три) аркуші. </w:t>
      </w:r>
    </w:p>
    <w:p w:rsidR="00D15047" w:rsidRDefault="00D15047" w:rsidP="00D15047">
      <w:pPr>
        <w:rPr>
          <w:sz w:val="24"/>
          <w:szCs w:val="24"/>
          <w:lang w:val="uk-UA"/>
        </w:rPr>
      </w:pPr>
    </w:p>
    <w:p w:rsidR="00D15047" w:rsidRPr="00F74C8C" w:rsidRDefault="00D15047" w:rsidP="00D15047">
      <w:pPr>
        <w:rPr>
          <w:sz w:val="24"/>
          <w:szCs w:val="24"/>
          <w:lang w:val="uk-UA"/>
        </w:rPr>
      </w:pPr>
      <w:r w:rsidRPr="00F74C8C">
        <w:rPr>
          <w:sz w:val="24"/>
          <w:szCs w:val="24"/>
          <w:lang w:val="uk-UA"/>
        </w:rPr>
        <w:t xml:space="preserve">Провідний спеціаліст                                 </w:t>
      </w:r>
      <w:r>
        <w:rPr>
          <w:sz w:val="24"/>
          <w:szCs w:val="24"/>
          <w:lang w:val="uk-UA"/>
        </w:rPr>
        <w:t xml:space="preserve">                                      </w:t>
      </w:r>
      <w:r w:rsidRPr="00F74C8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F74C8C">
        <w:rPr>
          <w:sz w:val="24"/>
          <w:szCs w:val="24"/>
          <w:lang w:val="uk-UA"/>
        </w:rPr>
        <w:t>Вікторія ВОРОНА</w:t>
      </w:r>
    </w:p>
    <w:p w:rsidR="00D15047" w:rsidRDefault="00D15047" w:rsidP="00D15047">
      <w:r>
        <w:rPr>
          <w:sz w:val="24"/>
          <w:szCs w:val="24"/>
          <w:lang w:val="uk-UA"/>
        </w:rPr>
        <w:t>29</w:t>
      </w:r>
      <w:r w:rsidRPr="00F74C8C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8</w:t>
      </w:r>
      <w:r w:rsidRPr="00F74C8C">
        <w:rPr>
          <w:sz w:val="24"/>
          <w:szCs w:val="24"/>
          <w:lang w:val="uk-UA"/>
        </w:rPr>
        <w:t>.2022</w:t>
      </w:r>
      <w:r>
        <w:rPr>
          <w:lang w:val="uk-UA"/>
        </w:rPr>
        <w:t xml:space="preserve">             </w:t>
      </w:r>
    </w:p>
    <w:p w:rsidR="00D15047" w:rsidRDefault="00D15047" w:rsidP="00D15047"/>
    <w:p w:rsidR="00D26290" w:rsidRDefault="00D26290"/>
    <w:sectPr w:rsidR="00D26290" w:rsidSect="009E27B8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20F" w:rsidRDefault="00BE620F" w:rsidP="009E27B8">
      <w:r>
        <w:separator/>
      </w:r>
    </w:p>
  </w:endnote>
  <w:endnote w:type="continuationSeparator" w:id="0">
    <w:p w:rsidR="00BE620F" w:rsidRDefault="00BE620F" w:rsidP="009E2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20F" w:rsidRDefault="00BE620F" w:rsidP="009E27B8">
      <w:r>
        <w:separator/>
      </w:r>
    </w:p>
  </w:footnote>
  <w:footnote w:type="continuationSeparator" w:id="0">
    <w:p w:rsidR="00BE620F" w:rsidRDefault="00BE620F" w:rsidP="009E2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5" w:type="dxa"/>
      <w:tblInd w:w="-72" w:type="dxa"/>
      <w:tblLayout w:type="fixed"/>
      <w:tblLook w:val="04A0"/>
    </w:tblPr>
    <w:tblGrid>
      <w:gridCol w:w="747"/>
      <w:gridCol w:w="5241"/>
      <w:gridCol w:w="2125"/>
      <w:gridCol w:w="992"/>
      <w:gridCol w:w="1050"/>
    </w:tblGrid>
    <w:tr w:rsidR="009E27B8" w:rsidTr="00333ACB">
      <w:trPr>
        <w:cantSplit/>
        <w:trHeight w:val="395"/>
      </w:trPr>
      <w:tc>
        <w:tcPr>
          <w:tcW w:w="7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E27B8" w:rsidRDefault="009E27B8" w:rsidP="00333ACB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2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E27B8" w:rsidRDefault="009E27B8" w:rsidP="00333ACB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21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E27B8" w:rsidRDefault="009E27B8" w:rsidP="00333ACB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E27B8" w:rsidRDefault="009E27B8" w:rsidP="00333ACB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0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E27B8" w:rsidRDefault="009E27B8" w:rsidP="00333ACB">
          <w:pPr>
            <w:spacing w:line="276" w:lineRule="auto"/>
            <w:jc w:val="center"/>
          </w:pPr>
          <w:r>
            <w:t>5</w:t>
          </w:r>
        </w:p>
      </w:tc>
    </w:tr>
  </w:tbl>
  <w:p w:rsidR="009E27B8" w:rsidRDefault="009E27B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A47"/>
    <w:rsid w:val="00003EC0"/>
    <w:rsid w:val="00066A51"/>
    <w:rsid w:val="00073A92"/>
    <w:rsid w:val="0011246E"/>
    <w:rsid w:val="00154C03"/>
    <w:rsid w:val="00177D25"/>
    <w:rsid w:val="00193FB3"/>
    <w:rsid w:val="001D3A4D"/>
    <w:rsid w:val="00237B19"/>
    <w:rsid w:val="00553629"/>
    <w:rsid w:val="00596E15"/>
    <w:rsid w:val="006C7562"/>
    <w:rsid w:val="00782D78"/>
    <w:rsid w:val="00873556"/>
    <w:rsid w:val="008E49EC"/>
    <w:rsid w:val="009B36F7"/>
    <w:rsid w:val="009E27B8"/>
    <w:rsid w:val="00B61213"/>
    <w:rsid w:val="00BE620F"/>
    <w:rsid w:val="00BF539A"/>
    <w:rsid w:val="00C47391"/>
    <w:rsid w:val="00C91570"/>
    <w:rsid w:val="00D15047"/>
    <w:rsid w:val="00D26290"/>
    <w:rsid w:val="00D7176E"/>
    <w:rsid w:val="00D72A6B"/>
    <w:rsid w:val="00E605F6"/>
    <w:rsid w:val="00ED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4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E27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27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E27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27B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2022-08-29T06:56:00Z</dcterms:created>
  <dcterms:modified xsi:type="dcterms:W3CDTF">2022-08-29T09:40:00Z</dcterms:modified>
</cp:coreProperties>
</file>